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21" w:afterLines="50" w:line="600" w:lineRule="exact"/>
        <w:textAlignment w:val="auto"/>
        <w:outlineLvl w:val="9"/>
        <w:rPr>
          <w:rFonts w:hint="eastAsia" w:ascii="黑体" w:hAnsi="黑体" w:eastAsia="黑体" w:cs="黑体"/>
          <w:color w:val="auto"/>
          <w:highlight w:val="none"/>
        </w:rPr>
      </w:pPr>
      <w:r>
        <w:rPr>
          <w:rFonts w:hint="eastAsia" w:ascii="黑体" w:hAnsi="黑体" w:eastAsia="黑体" w:cs="黑体"/>
          <w:color w:val="auto"/>
          <w:highlight w:val="none"/>
        </w:rPr>
        <w:t>附件</w:t>
      </w:r>
    </w:p>
    <w:p>
      <w:pPr>
        <w:keepNext w:val="0"/>
        <w:keepLines w:val="0"/>
        <w:pageBreakBefore w:val="0"/>
        <w:widowControl w:val="0"/>
        <w:kinsoku/>
        <w:wordWrap/>
        <w:overflowPunct/>
        <w:topLinePunct w:val="0"/>
        <w:autoSpaceDE/>
        <w:autoSpaceDN/>
        <w:bidi w:val="0"/>
        <w:adjustRightInd/>
        <w:snapToGrid/>
        <w:spacing w:after="321" w:afterLines="50" w:line="600" w:lineRule="exact"/>
        <w:jc w:val="center"/>
        <w:textAlignment w:val="auto"/>
        <w:outlineLvl w:val="9"/>
        <w:rPr>
          <w:rFonts w:hint="eastAsia" w:ascii="方正小标宋简体" w:hAnsi="方正小标宋简体" w:eastAsia="方正小标宋简体" w:cs="方正小标宋简体"/>
          <w:color w:val="auto"/>
          <w:sz w:val="44"/>
          <w:szCs w:val="44"/>
          <w:highlight w:val="none"/>
        </w:rPr>
      </w:pPr>
      <w:bookmarkStart w:id="0" w:name="_Hlk182392760"/>
      <w:r>
        <w:rPr>
          <w:rFonts w:hint="eastAsia" w:ascii="方正小标宋简体" w:hAnsi="方正小标宋简体" w:eastAsia="方正小标宋简体" w:cs="方正小标宋简体"/>
          <w:color w:val="auto"/>
          <w:sz w:val="44"/>
          <w:szCs w:val="44"/>
          <w:highlight w:val="none"/>
        </w:rPr>
        <w:t>项目设备更新购置明细表</w:t>
      </w:r>
      <w:bookmarkStart w:id="2" w:name="_GoBack"/>
      <w:bookmarkEnd w:id="2"/>
    </w:p>
    <w:p>
      <w:pPr>
        <w:keepNext w:val="0"/>
        <w:keepLines w:val="0"/>
        <w:pageBreakBefore w:val="0"/>
        <w:widowControl w:val="0"/>
        <w:kinsoku/>
        <w:wordWrap/>
        <w:overflowPunct/>
        <w:topLinePunct w:val="0"/>
        <w:autoSpaceDE/>
        <w:autoSpaceDN/>
        <w:bidi w:val="0"/>
        <w:adjustRightInd/>
        <w:snapToGrid/>
        <w:spacing w:after="130" w:afterLines="20" w:line="500" w:lineRule="exact"/>
        <w:ind w:left="0" w:right="-27" w:rightChars="-9" w:hanging="1841" w:hangingChars="687"/>
        <w:jc w:val="left"/>
        <w:textAlignment w:val="auto"/>
        <w:outlineLvl w:val="9"/>
        <w:rPr>
          <w:rFonts w:ascii="仿宋_GB2312" w:hAnsi="仿宋_GB2312" w:cs="仿宋_GB2312"/>
          <w:color w:val="auto"/>
          <w:sz w:val="28"/>
          <w:szCs w:val="28"/>
          <w:highlight w:val="none"/>
        </w:rPr>
      </w:pPr>
      <w:r>
        <w:rPr>
          <w:rFonts w:hint="eastAsia" w:ascii="仿宋_GB2312" w:hAnsi="仿宋_GB2312" w:cs="仿宋_GB2312"/>
          <w:color w:val="auto"/>
          <w:kern w:val="0"/>
          <w:sz w:val="28"/>
          <w:szCs w:val="28"/>
          <w:highlight w:val="none"/>
        </w:rPr>
        <w:t>建设项目名称：</w:t>
      </w:r>
      <w:r>
        <w:rPr>
          <w:rFonts w:hint="eastAsia" w:ascii="仿宋_GB2312" w:hAnsi="仿宋_GB2312" w:cs="仿宋_GB2312"/>
          <w:color w:val="auto"/>
          <w:kern w:val="0"/>
          <w:sz w:val="28"/>
          <w:szCs w:val="28"/>
          <w:highlight w:val="none"/>
          <w:u w:val="single"/>
        </w:rPr>
        <w:t>广西中医药大学中药壮瑶药创新药物教育部工程研究中心重大仪器设备更新项目（一期）</w:t>
      </w:r>
    </w:p>
    <w:bookmarkEnd w:id="0"/>
    <w:tbl>
      <w:tblPr>
        <w:tblStyle w:val="5"/>
        <w:tblW w:w="87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5722"/>
        <w:gridCol w:w="1190"/>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blHeader/>
          <w:jc w:val="center"/>
        </w:trPr>
        <w:tc>
          <w:tcPr>
            <w:tcW w:w="737" w:type="dxa"/>
            <w:vAlign w:val="center"/>
          </w:tcPr>
          <w:p>
            <w:pPr>
              <w:pStyle w:val="6"/>
              <w:keepNext w:val="0"/>
              <w:keepLines w:val="0"/>
              <w:pageBreakBefore w:val="0"/>
              <w:kinsoku/>
              <w:overflowPunct/>
              <w:topLinePunct w:val="0"/>
              <w:autoSpaceDE/>
              <w:autoSpaceDN/>
              <w:bidi w:val="0"/>
              <w:adjustRightInd/>
              <w:snapToGrid/>
              <w:spacing w:line="600" w:lineRule="exact"/>
              <w:ind w:firstLine="0"/>
              <w:jc w:val="center"/>
              <w:rPr>
                <w:rFonts w:hint="eastAsia" w:ascii="Times New Roman" w:hAnsi="Times New Roman" w:cs="Times New Roman"/>
                <w:b/>
                <w:bCs/>
                <w:color w:val="auto"/>
                <w:sz w:val="24"/>
                <w:szCs w:val="24"/>
                <w:highlight w:val="none"/>
              </w:rPr>
            </w:pPr>
            <w:bookmarkStart w:id="1" w:name="_Hlk182392472"/>
            <w:r>
              <w:rPr>
                <w:rFonts w:hint="eastAsia" w:ascii="Times New Roman" w:hAnsi="Times New Roman" w:cs="Times New Roman"/>
                <w:b/>
                <w:bCs/>
                <w:color w:val="auto"/>
                <w:sz w:val="24"/>
                <w:szCs w:val="24"/>
                <w:highlight w:val="none"/>
              </w:rPr>
              <w:t>序号</w:t>
            </w:r>
          </w:p>
        </w:tc>
        <w:tc>
          <w:tcPr>
            <w:tcW w:w="5722" w:type="dxa"/>
            <w:vAlign w:val="center"/>
          </w:tcPr>
          <w:p>
            <w:pPr>
              <w:pStyle w:val="6"/>
              <w:keepNext w:val="0"/>
              <w:keepLines w:val="0"/>
              <w:pageBreakBefore w:val="0"/>
              <w:kinsoku/>
              <w:overflowPunct/>
              <w:topLinePunct w:val="0"/>
              <w:autoSpaceDE/>
              <w:autoSpaceDN/>
              <w:bidi w:val="0"/>
              <w:adjustRightInd/>
              <w:snapToGrid/>
              <w:spacing w:line="600" w:lineRule="exact"/>
              <w:ind w:firstLine="0"/>
              <w:jc w:val="center"/>
              <w:rPr>
                <w:rFonts w:hint="eastAsia" w:ascii="Times New Roman" w:hAnsi="Times New Roman" w:cs="Times New Roman"/>
                <w:b/>
                <w:bCs/>
                <w:color w:val="auto"/>
                <w:sz w:val="24"/>
                <w:szCs w:val="24"/>
                <w:highlight w:val="none"/>
              </w:rPr>
            </w:pPr>
            <w:r>
              <w:rPr>
                <w:rFonts w:hint="eastAsia" w:ascii="Times New Roman" w:hAnsi="Times New Roman" w:cs="Times New Roman"/>
                <w:b/>
                <w:bCs/>
                <w:color w:val="auto"/>
                <w:sz w:val="24"/>
                <w:szCs w:val="24"/>
                <w:highlight w:val="none"/>
              </w:rPr>
              <w:t>设 备 名 称</w:t>
            </w:r>
          </w:p>
        </w:tc>
        <w:tc>
          <w:tcPr>
            <w:tcW w:w="1190" w:type="dxa"/>
            <w:vAlign w:val="center"/>
          </w:tcPr>
          <w:p>
            <w:pPr>
              <w:pStyle w:val="6"/>
              <w:keepNext w:val="0"/>
              <w:keepLines w:val="0"/>
              <w:pageBreakBefore w:val="0"/>
              <w:kinsoku/>
              <w:overflowPunct/>
              <w:topLinePunct w:val="0"/>
              <w:autoSpaceDE/>
              <w:autoSpaceDN/>
              <w:bidi w:val="0"/>
              <w:adjustRightInd/>
              <w:snapToGrid/>
              <w:spacing w:line="600" w:lineRule="exact"/>
              <w:ind w:firstLine="0"/>
              <w:jc w:val="center"/>
              <w:rPr>
                <w:rFonts w:hint="eastAsia" w:ascii="Times New Roman" w:hAnsi="Times New Roman" w:cs="Times New Roman"/>
                <w:b/>
                <w:bCs/>
                <w:color w:val="auto"/>
                <w:sz w:val="24"/>
                <w:szCs w:val="24"/>
                <w:highlight w:val="none"/>
              </w:rPr>
            </w:pPr>
            <w:r>
              <w:rPr>
                <w:rFonts w:hint="eastAsia" w:ascii="Times New Roman" w:hAnsi="Times New Roman" w:cs="Times New Roman"/>
                <w:b/>
                <w:bCs/>
                <w:color w:val="auto"/>
                <w:sz w:val="24"/>
                <w:szCs w:val="24"/>
                <w:highlight w:val="none"/>
              </w:rPr>
              <w:t xml:space="preserve">单 </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位</w:t>
            </w:r>
          </w:p>
        </w:tc>
        <w:tc>
          <w:tcPr>
            <w:tcW w:w="1127" w:type="dxa"/>
            <w:vAlign w:val="center"/>
          </w:tcPr>
          <w:p>
            <w:pPr>
              <w:pStyle w:val="6"/>
              <w:keepNext w:val="0"/>
              <w:keepLines w:val="0"/>
              <w:pageBreakBefore w:val="0"/>
              <w:kinsoku/>
              <w:overflowPunct/>
              <w:topLinePunct w:val="0"/>
              <w:autoSpaceDE/>
              <w:autoSpaceDN/>
              <w:bidi w:val="0"/>
              <w:adjustRightInd/>
              <w:snapToGrid/>
              <w:spacing w:line="600" w:lineRule="exact"/>
              <w:ind w:firstLine="0"/>
              <w:jc w:val="center"/>
              <w:rPr>
                <w:rFonts w:hint="eastAsia" w:ascii="Times New Roman" w:hAnsi="Times New Roman" w:cs="Times New Roman"/>
                <w:b/>
                <w:bCs/>
                <w:color w:val="auto"/>
                <w:sz w:val="24"/>
                <w:szCs w:val="24"/>
                <w:highlight w:val="none"/>
              </w:rPr>
            </w:pPr>
            <w:r>
              <w:rPr>
                <w:rFonts w:hint="eastAsia" w:ascii="Times New Roman" w:hAnsi="Times New Roman" w:cs="Times New Roman"/>
                <w:b/>
                <w:bCs/>
                <w:color w:val="auto"/>
                <w:sz w:val="24"/>
                <w:szCs w:val="24"/>
                <w:highlight w:val="none"/>
              </w:rPr>
              <w:t xml:space="preserve">数 </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量</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sz w:val="24"/>
                <w:szCs w:val="24"/>
                <w:highlight w:val="none"/>
              </w:rPr>
            </w:pPr>
            <w:r>
              <w:rPr>
                <w:rFonts w:hint="eastAsia" w:ascii="仿宋_GB2312" w:hAnsi="宋体" w:cs="宋体"/>
                <w:b/>
                <w:bCs/>
                <w:color w:val="auto"/>
                <w:kern w:val="0"/>
                <w:sz w:val="24"/>
                <w:szCs w:val="24"/>
                <w:highlight w:val="none"/>
              </w:rPr>
              <w:t>一</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ascii="仿宋_GB2312" w:hAnsi="宋体" w:cs="宋体"/>
                <w:b/>
                <w:bCs/>
                <w:color w:val="auto"/>
                <w:kern w:val="0"/>
                <w:sz w:val="24"/>
                <w:szCs w:val="24"/>
                <w:highlight w:val="none"/>
              </w:rPr>
            </w:pPr>
            <w:r>
              <w:rPr>
                <w:rFonts w:hint="eastAsia" w:ascii="仿宋_GB2312" w:hAnsi="宋体" w:cs="宋体"/>
                <w:b/>
                <w:bCs/>
                <w:color w:val="auto"/>
                <w:kern w:val="0"/>
                <w:sz w:val="24"/>
                <w:szCs w:val="24"/>
                <w:highlight w:val="none"/>
              </w:rPr>
              <w:t>壮瑶医药特色的医疗机构制剂-中药新药</w:t>
            </w:r>
          </w:p>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sz w:val="24"/>
                <w:szCs w:val="24"/>
                <w:highlight w:val="none"/>
              </w:rPr>
            </w:pPr>
            <w:r>
              <w:rPr>
                <w:rFonts w:hint="eastAsia" w:ascii="仿宋_GB2312" w:hAnsi="宋体" w:cs="宋体"/>
                <w:b/>
                <w:bCs/>
                <w:color w:val="auto"/>
                <w:kern w:val="0"/>
                <w:sz w:val="24"/>
                <w:szCs w:val="24"/>
                <w:highlight w:val="none"/>
              </w:rPr>
              <w:t>一体化开发研究平台</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sz w:val="24"/>
                <w:szCs w:val="24"/>
                <w:highlight w:val="none"/>
              </w:rPr>
            </w:pPr>
            <w:r>
              <w:rPr>
                <w:rFonts w:hint="eastAsia" w:ascii="仿宋_GB2312" w:hAnsi="Times New Roman" w:cs="Times New Roman"/>
                <w:b/>
                <w:bCs/>
                <w:color w:val="auto"/>
                <w:kern w:val="0"/>
                <w:sz w:val="24"/>
                <w:szCs w:val="24"/>
                <w:highlight w:val="none"/>
              </w:rPr>
              <w:t>台（套）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lang w:bidi="ar"/>
              </w:rPr>
            </w:pPr>
            <w:r>
              <w:rPr>
                <w:rFonts w:ascii="仿宋_GB2312" w:hAnsi="Times New Roman" w:cs="Times New Roman"/>
                <w:b/>
                <w:bCs/>
                <w:color w:val="auto"/>
                <w:kern w:val="0"/>
                <w:sz w:val="24"/>
                <w:szCs w:val="24"/>
                <w:highlight w:val="none"/>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蛋白液相分析系统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X射线衍射仪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3</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600MHz超导核磁共振波谱仪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比表面及孔径分析仪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5</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超高效纳升液相色谱-原位电喷雾成像系统-四极杆</w:t>
            </w:r>
          </w:p>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串联飞行时间质谱仪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6</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多功能高速冷冻离心系统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7</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高效液相色谱仪（VWD+ELSD）</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8</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高效液相色谱仪（HDAD）</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9</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高效液相色谱仪（WDAD+示差）</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10</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高效液相色谱仪（WDAD+荧光）</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高效液相色谱仪（VWD+SPR）</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紫外可见近红外分光光度计</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宋体" w:cs="宋体"/>
                <w:b/>
                <w:bCs/>
                <w:color w:val="auto"/>
                <w:kern w:val="0"/>
                <w:sz w:val="24"/>
                <w:szCs w:val="24"/>
                <w:highlight w:val="none"/>
              </w:rPr>
              <w:t>二</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广西道地药材创新中药研究及产品开发平台</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台（套）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大型多功能清洗机</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倒置荧光相差显微成像分析系统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3</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多功能倒置显微镜</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4</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全景数字病理切片扫描仪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5</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全自动化3D类器官检测分析系统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宋体" w:cs="宋体"/>
                <w:b/>
                <w:bCs/>
                <w:color w:val="auto"/>
                <w:kern w:val="0"/>
                <w:sz w:val="24"/>
                <w:szCs w:val="24"/>
                <w:highlight w:val="none"/>
              </w:rPr>
              <w:t>三</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广西优势中成药的二次开发研究平台</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台（套）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高分辨离子淌度四极杆飞行时间质谱仪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超高效液相色谱仪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3</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高压制备色谱仪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4</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高通量非标记互作分析系统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sz w:val="24"/>
                <w:szCs w:val="24"/>
                <w:highlight w:val="none"/>
              </w:rPr>
            </w:pPr>
            <w:r>
              <w:rPr>
                <w:rFonts w:hint="eastAsia" w:ascii="仿宋_GB2312" w:hAnsi="Times New Roman" w:cs="Times New Roman"/>
                <w:color w:val="auto"/>
                <w:kern w:val="0"/>
                <w:sz w:val="24"/>
                <w:szCs w:val="24"/>
                <w:highlight w:val="none"/>
              </w:rPr>
              <w:t>5</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微胶囊造粒仪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四</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创新中兽药的开发研究平台</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台（套）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小动物活体成像&amp;CT系统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分析半制备液相色谱仪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3</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荧光定量PCR仪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实验动物专用型脉动真空灭菌器</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五</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广西特色海洋中药新药创制和大健康产品开发研究平台</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台（套）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b/>
                <w:bCs/>
                <w:color w:val="auto"/>
                <w:kern w:val="0"/>
                <w:sz w:val="24"/>
                <w:szCs w:val="24"/>
                <w:highlight w:val="none"/>
              </w:rPr>
            </w:pPr>
            <w:r>
              <w:rPr>
                <w:rFonts w:hint="eastAsia" w:ascii="仿宋_GB2312" w:hAnsi="Times New Roman" w:cs="Times New Roman"/>
                <w:b/>
                <w:bCs/>
                <w:color w:val="auto"/>
                <w:kern w:val="0"/>
                <w:sz w:val="24"/>
                <w:szCs w:val="24"/>
                <w:highlight w:val="none"/>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单晶X射线衍射仪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冷冻干燥机</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3</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超灵敏多功能成像系统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4</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多功能酶标仪</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5</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旋转蒸发系统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套</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6</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冷冻干燥机</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7</w:t>
            </w:r>
          </w:p>
        </w:tc>
        <w:tc>
          <w:tcPr>
            <w:tcW w:w="5722"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全光谱流式细胞分析系统</w:t>
            </w:r>
          </w:p>
        </w:tc>
        <w:tc>
          <w:tcPr>
            <w:tcW w:w="1190"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台</w:t>
            </w:r>
          </w:p>
        </w:tc>
        <w:tc>
          <w:tcPr>
            <w:tcW w:w="1127" w:type="dxa"/>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outlineLvl w:val="9"/>
              <w:rPr>
                <w:rFonts w:hint="eastAsia" w:ascii="仿宋_GB2312" w:hAnsi="Times New Roman" w:cs="Times New Roman"/>
                <w:color w:val="auto"/>
                <w:kern w:val="0"/>
                <w:sz w:val="24"/>
                <w:szCs w:val="24"/>
                <w:highlight w:val="none"/>
              </w:rPr>
            </w:pPr>
            <w:r>
              <w:rPr>
                <w:rFonts w:hint="eastAsia" w:ascii="仿宋_GB2312" w:hAnsi="Times New Roman" w:cs="Times New Roman"/>
                <w:color w:val="auto"/>
                <w:kern w:val="0"/>
                <w:sz w:val="24"/>
                <w:szCs w:val="24"/>
                <w:highlight w:val="none"/>
              </w:rPr>
              <w:t>1</w:t>
            </w:r>
          </w:p>
        </w:tc>
      </w:tr>
    </w:tbl>
    <w:p>
      <w:pPr>
        <w:pStyle w:val="6"/>
        <w:keepNext w:val="0"/>
        <w:keepLines w:val="0"/>
        <w:pageBreakBefore w:val="0"/>
        <w:kinsoku/>
        <w:overflowPunct/>
        <w:topLinePunct w:val="0"/>
        <w:autoSpaceDE/>
        <w:autoSpaceDN/>
        <w:bidi w:val="0"/>
        <w:adjustRightInd/>
        <w:snapToGrid/>
        <w:spacing w:line="600" w:lineRule="exact"/>
        <w:rPr>
          <w:rFonts w:hint="eastAsia" w:ascii="Times New Roman" w:hAnsi="Times New Roman" w:cs="Times New Roman"/>
          <w:color w:val="auto"/>
          <w:sz w:val="24"/>
          <w:szCs w:val="24"/>
          <w:highlight w:val="none"/>
        </w:rPr>
      </w:pPr>
    </w:p>
    <w:p/>
    <w:sectPr>
      <w:footerReference r:id="rId3" w:type="default"/>
      <w:footerReference r:id="rId4" w:type="even"/>
      <w:pgSz w:w="11906" w:h="16838"/>
      <w:pgMar w:top="1418" w:right="1588" w:bottom="1701" w:left="1701" w:header="851" w:footer="964" w:gutter="0"/>
      <w:pgNumType w:fmt="numberInDash"/>
      <w:cols w:space="720" w:num="1"/>
      <w:docGrid w:type="linesAndChars" w:linePitch="636" w:charSpace="-25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eastAsia="宋体"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PAGE   \* MERGEFORMAT </w:instrText>
    </w:r>
    <w:r>
      <w:rPr>
        <w:rFonts w:ascii="宋体" w:hAnsi="宋体" w:eastAsia="宋体" w:cs="Times New Roman"/>
        <w:sz w:val="28"/>
        <w:szCs w:val="28"/>
      </w:rPr>
      <w:fldChar w:fldCharType="separate"/>
    </w:r>
    <w:r>
      <w:rPr>
        <w:rFonts w:ascii="宋体" w:hAnsi="宋体" w:eastAsia="宋体" w:cs="Times New Roman"/>
        <w:sz w:val="28"/>
        <w:szCs w:val="28"/>
        <w:lang w:val="zh-CN"/>
      </w:rPr>
      <w:t>-</w:t>
    </w:r>
    <w:r>
      <w:rPr>
        <w:rFonts w:ascii="宋体" w:hAnsi="宋体" w:eastAsia="宋体" w:cs="Times New Roman"/>
        <w:sz w:val="28"/>
        <w:szCs w:val="28"/>
      </w:rPr>
      <w:t xml:space="preserve"> 1 -</w:t>
    </w:r>
    <w:r>
      <w:rPr>
        <w:rFonts w:ascii="宋体" w:hAnsi="宋体" w:eastAsia="宋体" w:cs="Times New Roman"/>
        <w:sz w:val="28"/>
        <w:szCs w:val="28"/>
      </w:rPr>
      <w:fldChar w:fldCharType="end"/>
    </w:r>
  </w:p>
  <w:p>
    <w:pPr>
      <w:pStyle w:val="2"/>
      <w:rPr>
        <w:rFonts w:hint="eastAsia"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261" w:wrap="around" w:vAnchor="text" w:hAnchor="page" w:x="1696" w:y="-201"/>
      <w:ind w:firstLine="280" w:firstLineChars="100"/>
      <w:rPr>
        <w:rStyle w:val="4"/>
        <w:rFonts w:ascii="宋体" w:hAnsi="宋体" w:eastAsia="宋体" w:cs="Times New Roman"/>
        <w:sz w:val="28"/>
        <w:szCs w:val="28"/>
      </w:rPr>
    </w:pPr>
    <w:r>
      <w:rPr>
        <w:rFonts w:ascii="宋体" w:hAnsi="宋体" w:eastAsia="宋体" w:cs="Times New Roman"/>
        <w:sz w:val="28"/>
        <w:szCs w:val="28"/>
      </w:rPr>
      <w:fldChar w:fldCharType="begin"/>
    </w:r>
    <w:r>
      <w:rPr>
        <w:rStyle w:val="4"/>
        <w:rFonts w:ascii="宋体" w:hAnsi="宋体" w:eastAsia="宋体" w:cs="Times New Roman"/>
        <w:sz w:val="28"/>
        <w:szCs w:val="28"/>
      </w:rPr>
      <w:instrText xml:space="preserve">PAGE  </w:instrText>
    </w:r>
    <w:r>
      <w:rPr>
        <w:rFonts w:ascii="宋体" w:hAnsi="宋体" w:eastAsia="宋体" w:cs="Times New Roman"/>
        <w:sz w:val="28"/>
        <w:szCs w:val="28"/>
      </w:rPr>
      <w:fldChar w:fldCharType="separate"/>
    </w:r>
    <w:r>
      <w:rPr>
        <w:rStyle w:val="4"/>
        <w:rFonts w:ascii="宋体" w:hAnsi="宋体" w:eastAsia="宋体" w:cs="Times New Roman"/>
        <w:sz w:val="28"/>
        <w:szCs w:val="28"/>
      </w:rPr>
      <w:t>- 2 -</w:t>
    </w:r>
    <w:r>
      <w:rPr>
        <w:rFonts w:ascii="宋体" w:hAnsi="宋体" w:eastAsia="宋体" w:cs="Times New Roman"/>
        <w:sz w:val="28"/>
        <w:szCs w:val="28"/>
      </w:rPr>
      <w:fldChar w:fldCharType="end"/>
    </w:r>
  </w:p>
  <w:p>
    <w:pPr>
      <w:pStyle w:val="2"/>
      <w:rPr>
        <w:rFonts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81229"/>
    <w:rsid w:val="3938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uiPriority w:val="99"/>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4">
    <w:name w:val="page number"/>
    <w:qFormat/>
    <w:uiPriority w:val="0"/>
  </w:style>
  <w:style w:type="paragraph" w:customStyle="1" w:styleId="6">
    <w:name w:val="Normal Indent1"/>
    <w:qFormat/>
    <w:uiPriority w:val="0"/>
    <w:pPr>
      <w:widowControl w:val="0"/>
      <w:ind w:firstLine="42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gxfgw</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2025-02-17T08:05:00Z</dcterms:created>
  <dc:creator>肥肥油</dc:creator>
  <cp:lastModifiedBy>肥肥油</cp:lastModifiedBy>
  <dcterms:modified xsi:type="dcterms:W3CDTF">2025-02-17T08:06:13Z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